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tbl>
      <w:tblPr>
        <w:tblW w:w="3941" w:type="dxa"/>
        <w:jc w:val="right"/>
        <w:tblInd w:w="0" w:type="dxa"/>
        <w:tblLayout w:type="fixed"/>
        <w:tblCellMar>
          <w:top w:w="0" w:type="dxa"/>
          <w:left w:w="0" w:type="dxa"/>
          <w:bottom w:w="0" w:type="dxa"/>
          <w:right w:w="0" w:type="dxa"/>
        </w:tblCellMar>
      </w:tblPr>
      <w:tblGrid>
        <w:gridCol w:w="3941"/>
      </w:tblGrid>
      <w:tr>
        <w:trPr/>
        <w:tc>
          <w:tcPr>
            <w:tcW w:w="3941" w:type="dxa"/>
            <w:tcBorders/>
          </w:tcPr>
          <w:p>
            <w:pPr>
              <w:pStyle w:val="Normal"/>
              <w:widowControl w:val="false"/>
              <w:bidi w:val="0"/>
              <w:jc w:val="left"/>
              <w:rPr>
                <w:b/>
                <w:b/>
                <w:bCs/>
              </w:rPr>
            </w:pPr>
            <w:r>
              <w:rPr>
                <w:b w:val="false"/>
                <w:bCs w:val="false"/>
              </w:rPr>
              <w:t>ООО «ТехноСервис», ИНН 7712345678, ОГРН 1234567890123, адрес: 125009, г. Москва, ул. Садовая‑Кудринская, д. 32, офис 15, тел: +7 (495) 987‑65‑43</w:t>
            </w:r>
          </w:p>
          <w:p>
            <w:pPr>
              <w:pStyle w:val="Style19"/>
              <w:widowControl w:val="false"/>
              <w:rPr/>
            </w:pPr>
            <w:r>
              <w:rPr/>
            </w:r>
          </w:p>
        </w:tc>
      </w:tr>
      <w:tr>
        <w:trPr/>
        <w:tc>
          <w:tcPr>
            <w:tcW w:w="3941" w:type="dxa"/>
            <w:tcBorders/>
          </w:tcPr>
          <w:p>
            <w:pPr>
              <w:pStyle w:val="Normal"/>
              <w:widowControl w:val="false"/>
              <w:bidi w:val="0"/>
              <w:jc w:val="left"/>
              <w:rPr>
                <w:b/>
                <w:b/>
                <w:bCs/>
              </w:rPr>
            </w:pPr>
            <w:r>
              <w:rPr>
                <w:b w:val="false"/>
                <w:bCs w:val="false"/>
              </w:rPr>
              <w:t>ООО «СтройРесурс», ИНН 7787654321, ОГРН 1234567890456, адрес: 127015, г. Москва, ул. Вятская, д. 45, офис 7</w:t>
            </w:r>
          </w:p>
          <w:p>
            <w:pPr>
              <w:pStyle w:val="Normal"/>
              <w:widowControl w:val="false"/>
              <w:bidi w:val="0"/>
              <w:jc w:val="left"/>
              <w:rPr/>
            </w:pPr>
            <w:r>
              <w:rPr/>
            </w:r>
          </w:p>
          <w:p>
            <w:pPr>
              <w:pStyle w:val="Normal"/>
              <w:widowControl w:val="false"/>
              <w:bidi w:val="0"/>
              <w:jc w:val="left"/>
              <w:rPr>
                <w:b w:val="false"/>
                <w:b w:val="false"/>
                <w:bCs w:val="false"/>
              </w:rPr>
            </w:pPr>
            <w:r>
              <w:rPr>
                <w:b w:val="false"/>
                <w:bCs w:val="false"/>
              </w:rPr>
            </w:r>
          </w:p>
          <w:p>
            <w:pPr>
              <w:pStyle w:val="Style19"/>
              <w:widowControl w:val="false"/>
              <w:rPr/>
            </w:pPr>
            <w:r>
              <w:rPr/>
            </w:r>
          </w:p>
        </w:tc>
      </w:tr>
    </w:tbl>
    <w:p>
      <w:pPr>
        <w:pStyle w:val="Normal"/>
        <w:bidi w:val="0"/>
        <w:jc w:val="right"/>
        <w:rPr/>
      </w:pPr>
      <w:r>
        <w:rPr/>
      </w:r>
    </w:p>
    <w:p>
      <w:pPr>
        <w:pStyle w:val="Normal"/>
        <w:bidi w:val="0"/>
        <w:jc w:val="left"/>
        <w:rPr/>
      </w:pPr>
      <w:r>
        <w:rPr/>
      </w:r>
    </w:p>
    <w:p>
      <w:pPr>
        <w:pStyle w:val="Normal"/>
        <w:widowControl w:val="false"/>
        <w:bidi w:val="0"/>
        <w:jc w:val="center"/>
        <w:rPr>
          <w:b/>
          <w:b/>
          <w:bCs/>
        </w:rPr>
      </w:pPr>
      <w:r>
        <w:rPr>
          <w:b/>
          <w:bCs/>
        </w:rPr>
        <w:t>Претензия по взысканию убытков</w:t>
      </w:r>
    </w:p>
    <w:p>
      <w:pPr>
        <w:pStyle w:val="Normal"/>
        <w:widowControl w:val="false"/>
        <w:bidi w:val="0"/>
        <w:jc w:val="center"/>
        <w:rPr/>
      </w:pPr>
      <w:r>
        <w:rPr/>
      </w:r>
    </w:p>
    <w:tbl>
      <w:tblPr>
        <w:tblW w:w="5000" w:type="pct"/>
        <w:jc w:val="left"/>
        <w:tblInd w:w="55" w:type="dxa"/>
        <w:tblLayout w:type="fixed"/>
        <w:tblCellMar>
          <w:top w:w="55" w:type="dxa"/>
          <w:left w:w="55" w:type="dxa"/>
          <w:bottom w:w="55" w:type="dxa"/>
          <w:right w:w="55" w:type="dxa"/>
        </w:tblCellMar>
      </w:tblPr>
      <w:tblGrid>
        <w:gridCol w:w="9026"/>
      </w:tblGrid>
      <w:tr>
        <w:trPr/>
        <w:tc>
          <w:tcPr>
            <w:tcW w:w="9026" w:type="dxa"/>
            <w:tcBorders/>
          </w:tcPr>
          <w:p>
            <w:pPr>
              <w:pStyle w:val="Normal"/>
              <w:widowControl w:val="false"/>
              <w:bidi w:val="0"/>
              <w:jc w:val="left"/>
              <w:rPr/>
            </w:pPr>
            <w:r>
              <w:rPr/>
              <w:t>**Обстоятельства дела:**</w:t>
              <w:br/>
              <w:t>    Между ООО «ТехноСервис» (Исполнитель) и ООО «СтройРесурс» (Заказчик) 15.03.2024 был заключён договор подряда № 123 на выполнение строительно‑монтажных работ.</w:t>
              <w:br/>
              <w:t/>
              <w:br/>
              <w:t>    В соответствии с условиями договора Исполнитель обязался выполнить работы в срок до 15.07.2024, а Заказчик — оплатить их в размере 1 500 000 рублей в течение 10 рабочих дней после подписания акта сдачи‑приёмки выполненных работ.</w:t>
              <w:br/>
              <w:t/>
              <w:br/>
              <w:t>    ООО «ТехноСервис» полностью выполнило свои обязательства: работы были завершены в установленный срок и приняты Заказчиком 15.07.2024 без замечаний, что подтверждается актом сдачи‑приёмки. Однако ООО «СтройРесурс» до настоящего момента не произвело оплату выполненных работ, несмотря на направленные в его адрес претензии и напоминания.</w:t>
              <w:br/>
              <w:t/>
              <w:br/>
              <w:t>    В результате неисполнения Заказчиком своих обязательств Исполнитель понёс убытки, связанные с необходимостью привлечения заёмных средств для покрытия текущих расходов, а также с упущенной выгодой из‑за невозможности использовать ожидаемые денежные средства в обороте.</w:t>
            </w:r>
          </w:p>
        </w:tc>
      </w:tr>
      <w:tr>
        <w:trPr/>
        <w:tc>
          <w:tcPr>
            <w:tcW w:w="9026" w:type="dxa"/>
            <w:tcBorders/>
          </w:tcPr>
          <w:p>
            <w:pPr>
              <w:pStyle w:val="Normal"/>
              <w:widowControl w:val="false"/>
              <w:bidi w:val="0"/>
              <w:jc w:val="left"/>
              <w:rPr/>
            </w:pPr>
            <w:r>
              <w:rPr/>
              <w:t>На основании ст. 15, ст. 309, ст. 310, ст. 393, ст. 401 ГК РФ, ст. 125–126 АПК РФ, прошу:</w:t>
            </w:r>
          </w:p>
        </w:tc>
      </w:tr>
    </w:tbl>
    <w:p>
      <w:pPr>
        <w:pStyle w:val="Normal"/>
        <w:bidi w:val="0"/>
        <w:jc w:val="left"/>
        <w:rPr/>
      </w:pPr>
      <w:r>
        <w:rPr/>
      </w:r>
    </w:p>
    <w:p>
      <w:pPr>
        <w:pStyle w:val="Normal"/>
        <w:bidi w:val="0"/>
        <w:jc w:val="left"/>
        <w:rPr>
          <w:b w:val="false"/>
          <w:b w:val="false"/>
          <w:bCs w:val="false"/>
        </w:rPr>
      </w:pPr>
      <w:r>
        <w:rPr>
          <w:b w:val="false"/>
          <w:bCs w:val="false"/>
        </w:rPr>
        <w:t xml:space="preserve">На сегодняшний день размер задолженности составляет 1500000 </w:t>
      </w:r>
      <w:r>
        <w:rPr>
          <w:b w:val="false"/>
          <w:bCs w:val="false"/>
        </w:rPr>
        <w:t>рублей</w:t>
      </w:r>
      <w:r>
        <w:rPr>
          <w:b w:val="false"/>
          <w:bCs w:val="false"/>
        </w:rPr>
        <w:t>.</w:t>
      </w:r>
    </w:p>
    <w:p>
      <w:pPr>
        <w:pStyle w:val="Normal"/>
        <w:bidi w:val="0"/>
        <w:jc w:val="left"/>
        <w:rPr/>
      </w:pPr>
      <w:r>
        <w:rPr/>
        <w:t>1. В связи с изложенным, руководствуясь ст. 15, 393 ГК РФ, требуем в течение 10 (десяти) календарных дней с момента получения настоящей претензии возместить убытки в размере 1 500 000 (один миллион пятьсот тысяч) рублей 00 копеек, перечислив указанную сумму на расчётный счёт ООО «ТехноСервис» по следующим реквизитам:</w:t>
      </w:r>
    </w:p>
    <w:p>
      <w:pPr>
        <w:pStyle w:val="Normal"/>
        <w:bidi w:val="0"/>
        <w:jc w:val="left"/>
        <w:rPr/>
      </w:pPr>
      <w:r>
        <w:rPr/>
      </w:r>
    </w:p>
    <w:p>
      <w:pPr>
        <w:pStyle w:val="Normal"/>
        <w:bidi w:val="0"/>
        <w:jc w:val="left"/>
        <w:rPr/>
      </w:pPr>
      <w:r>
        <w:rPr/>
      </w:r>
    </w:p>
    <w:p>
      <w:pPr>
        <w:pStyle w:val="Normal"/>
        <w:bidi w:val="0"/>
        <w:jc w:val="center"/>
        <w:rPr/>
      </w:pPr>
      <w:r>
        <w:rPr/>
        <w:t>расчетный счет 9223372036854775807, открытый в ООО «ТехноСервис», корреспондирующий счет 922337203, БИК 44525225, ИНН банка 7712345678, КПП банка 771234567</w:t>
      </w:r>
    </w:p>
    <w:p>
      <w:pPr>
        <w:pStyle w:val="Normal"/>
        <w:rPr/>
      </w:pPr>
      <w:r>
        <w:rPr/>
      </w:r>
    </w:p>
    <w:p>
      <w:pPr>
        <w:pStyle w:val="Normal"/>
        <w:rPr/>
      </w:pPr>
      <w:r>
        <w:rPr/>
        <w:t>В случае непоступления денежных средств на расчётный счёт в установленный срок ООО «ТехноСервис» будет вынуждено обратиться в Арбитражный суд с исковым заявлением о взыскании убытков, неустойки за просрочку платежа, а также всех судебных издержек, включая расходы на оплату услуг представителя.</w:t>
      </w:r>
    </w:p>
    <w:p>
      <w:pPr>
        <w:pStyle w:val="Normal"/>
        <w:bidi w:val="0"/>
        <w:jc w:val="left"/>
        <w:rPr/>
      </w:pPr>
      <w:r>
        <w:rPr/>
      </w:r>
    </w:p>
    <w:p>
      <w:pPr>
        <w:pStyle w:val="Normal"/>
        <w:bidi w:val="0"/>
        <w:jc w:val="left"/>
        <w:rPr/>
      </w:pPr>
      <w:r>
        <w:rPr/>
      </w:r>
    </w:p>
    <w:p>
      <w:pPr>
        <w:pStyle w:val="Normal"/>
        <w:bidi w:val="0"/>
        <w:jc w:val="right"/>
        <w:rPr/>
      </w:pPr>
      <w:r>
        <w:rPr/>
      </w:r>
    </w:p>
    <w:p>
      <w:pPr>
        <w:pStyle w:val="Normal"/>
        <w:bidi w:val="0"/>
        <w:jc w:val="right"/>
        <w:rPr/>
      </w:pPr>
      <w:r>
        <w:rPr/>
        <w:t>Подпись __________________/______________/</w:t>
      </w:r>
    </w:p>
    <w:p>
      <w:pPr>
        <w:pStyle w:val="Normal"/>
        <w:bidi w:val="0"/>
        <w:jc w:val="right"/>
        <w:rPr/>
      </w:pPr>
      <w:r>
        <w:rPr/>
        <w:t>Дата: 22.02.2026 17:43</w:t>
      </w:r>
    </w:p>
    <w:p>
      <w:pPr>
        <w:pStyle w:val="Normal"/>
        <w:bidi w:val="0"/>
        <w:jc w:val="right"/>
        <w:rPr/>
      </w:pPr>
      <w:r>
        <w:rPr/>
      </w:r>
    </w:p>
    <w:p>
      <w:pPr>
        <w:pStyle w:val="Normal"/>
        <w:bidi w:val="0"/>
        <w:jc w:val="right"/>
        <w:rPr/>
      </w:pPr>
      <w:r>
        <w:rPr/>
      </w:r>
    </w:p>
    <w:p>
      <w:pPr>
        <w:pStyle w:val="Normal"/>
        <w:bidi w:val="0"/>
        <w:jc w:val="right"/>
        <w:rPr/>
      </w:pPr>
      <w:r>
        <w:rPr/>
      </w:r>
    </w:p>
    <w:p>
      <w:pPr>
        <w:pStyle w:val="Normal"/>
        <w:bidi w:val="0"/>
        <w:jc w:val="both"/>
        <w:rPr/>
      </w:pPr>
      <w:r>
        <w:rPr/>
        <w:t>-------------------------------------</w:t>
      </w:r>
    </w:p>
    <w:p>
      <w:pPr>
        <w:pStyle w:val="Normal"/>
        <w:bidi w:val="0"/>
        <w:jc w:val="both"/>
        <w:rPr/>
      </w:pPr>
      <w:r>
        <w:rPr/>
        <w:t>**Статья 15 ГК РФ. Возмещение убытков**    1. Лицо, право которого нарушено, может требовать полного возмещения причинённых ему убытков, если законом или договором не предусмотрено возмещение убытков в меньшем размере.    2. Под убытками понимаются расходы, которые лицо, чьё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**Статья 309 ГК РФ. Общие положения**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**Статья 310 ГК РФ. Недопустимость одностороннего отказа от исполнения обязательства**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    **Статья 393 ГК РФ. Обязанность должника возместить убытки**    Должник обязан возместить кредитору убытки, причинённые неисполнением или ненадлежащим исполнением обязательства.    **Статья 401 ГК РФ. Основания ответственности за нарушение обязательства**    1. Лицо, не исполнившее обязательства либо исполнившее его ненадлежащим образом, несёт ответственность при наличии вины (умысла или неосторожности), кроме случаев, когда законом или договором предусмотрены иные основания ответственности.    2. Отсутствие вины доказывается лицом, нарушившим обязательство.</w:t>
      </w:r>
    </w:p>
    <w:sectPr>
      <w:headerReference w:type="default" r:id="rId2"/>
      <w:type w:val="nextPage"/>
      <w:pgSz w:w="11906" w:h="16838"/>
      <w:pgMar w:left="1440" w:right="1440" w:gutter="0" w:header="1440" w:top="2189"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jc w:val="right"/>
      <w:rPr>
        <w:b w:val="false"/>
        <w:b w:val="false"/>
        <w:bCs w:val="false"/>
        <w:color w:val="CCCCCC"/>
        <w:sz w:val="20"/>
        <w:szCs w:val="20"/>
      </w:rPr>
    </w:pPr>
    <w:r>
      <w:rPr>
        <w:b w:val="false"/>
        <w:bCs w:val="false"/>
        <w:color w:val="CCCCCC"/>
        <w:sz w:val="20"/>
        <w:szCs w:val="20"/>
      </w:rPr>
      <w:t>Претензия по взысканию убытков</w:t>
    </w:r>
  </w:p>
  <w:p>
    <w:pPr>
      <w:pStyle w:val="Normal"/>
      <w:bidi w:val="0"/>
      <w:jc w:val="right"/>
      <w:rPr>
        <w:color w:val="CCCCCC"/>
        <w:sz w:val="20"/>
        <w:szCs w:val="20"/>
      </w:rPr>
    </w:pPr>
    <w:r>
      <w:rPr>
        <w:color w:val="CCCCCC"/>
        <w:sz w:val="20"/>
        <w:szCs w:val="20"/>
      </w:rPr>
      <w:t>Документ подготовлен сайтом siteurista.ru</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Lohit Devanagari"/>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oto Serif CJK SC" w:cs="Lohit Devanagari"/>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Содержимое таблицы"/>
    <w:basedOn w:val="Normal"/>
    <w:qFormat/>
    <w:pPr>
      <w:widowControl w:val="false"/>
      <w:suppressLineNumbers/>
    </w:pPr>
    <w:rPr/>
  </w:style>
  <w:style w:type="paragraph" w:styleId="Style20">
    <w:name w:val="Колонтитул"/>
    <w:basedOn w:val="Normal"/>
    <w:qFormat/>
    <w:pPr>
      <w:suppressLineNumbers/>
      <w:tabs>
        <w:tab w:val="clear" w:pos="709"/>
        <w:tab w:val="center" w:pos="4513" w:leader="none"/>
        <w:tab w:val="right" w:pos="9026" w:leader="none"/>
      </w:tabs>
    </w:pPr>
    <w:rPr/>
  </w:style>
  <w:style w:type="paragraph" w:styleId="Style21">
    <w:name w:val="Header"/>
    <w:basedOn w:val="Style20"/>
    <w:pPr>
      <w:suppressLineNumbers/>
    </w:pPr>
    <w:rPr/>
  </w:style>
  <w:style w:type="paragraph" w:styleId="Style22">
    <w:name w:val="Заголовок таблицы"/>
    <w:basedOn w:val="Style19"/>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86</TotalTime>
  <Application>LibreOffice/7.3.7.2$Linux_X86_64 LibreOffice_project/30$Build-2</Application>
  <AppVersion>15.0000</AppVersion>
  <Pages>1</Pages>
  <Words>43</Words>
  <Characters>446</Characters>
  <CharactersWithSpaces>474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2026-02-22T22:51:56Z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