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3941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1"/>
      </w:tblGrid>
      <w:tr>
        <w:trPr/>
        <w:tc>
          <w:tcPr>
            <w:tcW w:w="394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ООО «ТоргСнаб», ИНН 5012345678, ОГРН 1175000000000, адрес: 123456, г. Москва, ул. Торговая, д. 20, офис 5, тел: +7 (495) 123-45-67</w:t>
            </w:r>
          </w:p>
          <w:p>
            <w:pPr>
              <w:pStyle w:val="Style1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94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ООО «ПромТорг», ИНН 5078965432, ОГРН 1185000000000, адрес: 123456, г. Москва, ул. Промышленная, д. 30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19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center"/>
        <w:rPr>
          <w:b/>
          <w:b/>
          <w:bCs/>
        </w:rPr>
      </w:pPr>
      <w:r>
        <w:rPr>
          <w:b/>
          <w:bCs/>
        </w:rPr>
        <w:t>Претензия по договору поставки</w:t>
      </w:r>
    </w:p>
    <w:p>
      <w:pPr>
        <w:pStyle w:val="Normal"/>
        <w:widowControl w:val="false"/>
        <w:bidi w:val="0"/>
        <w:jc w:val="center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26"/>
      </w:tblGrid>
      <w:tr>
        <w:trPr/>
        <w:tc>
          <w:tcPr>
            <w:tcW w:w="9026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**Обстоятельства дела:**</w:t>
              <w:br/>
              <w:t>    Между ООО «ТоргСнаб» (Поставщик) и ООО «ПромТорг» (Покупатель) 01.04.2024 был заключён договор поставки № 456 на поставку партии товаров.</w:t>
              <w:br/>
              <w:t/>
              <w:br/>
              <w:t>    В соответствии с условиями договора Поставщик обязался поставить товары в срок до 01.08.2024, а Покупатель — оплатить их в размере 2 000 000 рублей в течение 15 рабочих дней после получения товара.</w:t>
              <w:br/>
              <w:t/>
              <w:br/>
              <w:t>    ООО «ТоргСнаб» выполнило все условия договора и поставило товары в полном объёме и в установленный срок. Товар был принят Покупателем 01.08.2024 без претензий, что подтверждается товарной накладной. Однако ООО «ПромТорг» до настоящего времени не произвело оплату поставленного товара, несмотря на направленные в его адрес претензии.</w:t>
            </w:r>
          </w:p>
        </w:tc>
      </w:tr>
      <w:tr>
        <w:trPr/>
        <w:tc>
          <w:tcPr>
            <w:tcW w:w="9026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На основании ст. 309, ст. 310, ст. 486, ст. 516 ГК РФ, ст. 125–126 АПК РФ, прошу: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На сегодняшний день размер задолженности составляет — </w:t>
      </w:r>
      <w:r>
        <w:rPr>
          <w:b w:val="false"/>
          <w:bCs w:val="false"/>
        </w:rPr>
        <w:t>рублей</w:t>
      </w:r>
      <w:r>
        <w:rPr>
          <w:b w:val="false"/>
          <w:bCs w:val="false"/>
        </w:rPr>
        <w:t>.</w:t>
      </w:r>
    </w:p>
    <w:p>
      <w:pPr>
        <w:pStyle w:val="Normal"/>
        <w:bidi w:val="0"/>
        <w:jc w:val="left"/>
        <w:rPr/>
      </w:pPr>
      <w:r>
        <w:rPr/>
        <w:t>1. На  основании  изложенного,  в  соответствии  со  ст. 1102, 1105 ГК РФ предлагаем Вам  возместить стоимость неосновательного обогащения в размере 2 000 000 рублей 00 копеек, перечислив указанную сумму по указанным  следующим реквизитам: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расчетный счет 5012345678, открытый в Альфа-банк, корреспондирующий счет 5012345678, БИК 5012345678, ИНН банка 123456789, КПП банка 111122222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случае если денежные средства не поступят на расчётный счёт, мы будем вынуждены обратиться в Арбитражный суд с иском о взыскании задолженности, а также судебных расходов.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Подпись __________________/______________/</w:t>
      </w:r>
    </w:p>
    <w:p>
      <w:pPr>
        <w:pStyle w:val="Normal"/>
        <w:bidi w:val="0"/>
        <w:jc w:val="right"/>
        <w:rPr/>
      </w:pPr>
      <w:r>
        <w:rPr/>
        <w:t>Дата: 22.02.2026 16:07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-------------------------------------</w:t>
      </w:r>
    </w:p>
    <w:p>
      <w:pPr>
        <w:pStyle w:val="Normal"/>
        <w:bidi w:val="0"/>
        <w:jc w:val="both"/>
        <w:rPr/>
      </w:pPr>
      <w:r>
        <w:rPr/>
        <w:t>**Статья 309 ГК РФ. Общие положения**   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— в соответствии с обычаями или иными обычно предъявляемыми требованиями.    **Статья 310 ГК РФ. Недопустимость одностороннего отказа от исполнения обязательства**   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    **Статья 486 ГК РФ. Оплата товара**    Покупатель обязан оплатить товар непосредственно до или после передачи ему товара продавцом, если иное не предусмотрено договором купли-продажи или не вытекает из существа обязательства.    **Статья 516 ГК РФ. Расчёты за поставляемые товары**    Покупатель обязан производить расчёты за поставляемые товары в порядке и в сроки, которые предусмотрены договором.</w:t>
      </w:r>
    </w:p>
    <w:sectPr>
      <w:headerReference w:type="default" r:id="rId2"/>
      <w:type w:val="nextPage"/>
      <w:pgSz w:w="11906" w:h="16838"/>
      <w:pgMar w:left="1440" w:right="1440" w:gutter="0" w:header="1440" w:top="2189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jc w:val="right"/>
      <w:rPr>
        <w:b w:val="false"/>
        <w:b w:val="false"/>
        <w:bCs w:val="false"/>
        <w:color w:val="CCCCCC"/>
        <w:sz w:val="20"/>
        <w:szCs w:val="20"/>
      </w:rPr>
    </w:pPr>
    <w:r>
      <w:rPr>
        <w:b w:val="false"/>
        <w:bCs w:val="false"/>
        <w:color w:val="CCCCCC"/>
        <w:sz w:val="20"/>
        <w:szCs w:val="20"/>
      </w:rPr>
      <w:t>Претензия по договору поставки</w:t>
    </w:r>
  </w:p>
  <w:p>
    <w:pPr>
      <w:pStyle w:val="Normal"/>
      <w:bidi w:val="0"/>
      <w:jc w:val="right"/>
      <w:rPr>
        <w:color w:val="CCCCCC"/>
        <w:sz w:val="20"/>
        <w:szCs w:val="20"/>
      </w:rPr>
    </w:pPr>
    <w:r>
      <w:rPr>
        <w:color w:val="CCCCCC"/>
        <w:sz w:val="20"/>
        <w:szCs w:val="20"/>
      </w:rPr>
      <w:t>Документ подготовлен сайтом siteurista.ru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Lohit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oto Serif CJK SC" w:cs="Lohit Devanagari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9"/>
        <w:tab w:val="center" w:pos="4513" w:leader="none"/>
        <w:tab w:val="right" w:pos="9026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paragraph" w:styleId="Style22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LibreOffice/7.3.7.2$Linux_X86_64 LibreOffice_project/30$Build-2</Application>
  <AppVersion>15.0000</AppVersion>
  <Pages>1</Pages>
  <Words>43</Words>
  <Characters>446</Characters>
  <CharactersWithSpaces>474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2026-02-22T22:51:56Z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