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pict>
          <v:shape type="#_x0000_t75" stroked="f" style="width:470pt; height:93.72023809523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bookmarkStart w:id="0" w:name="_Toc0"/>
      <w:r>
        <w:t>претензия отправлена 29.06.2026 года</w:t>
      </w:r>
      <w:bookmarkEnd w:id="0"/>
    </w:p>
    <w:p>
      <w:pPr/>
      <w:r>
        <w:rPr>
          <w:sz w:val="24"/>
          <w:szCs w:val="24"/>
          <w:b w:val="1"/>
          <w:bCs w:val="1"/>
        </w:rPr>
        <w:t xml:space="preserve">Вопрос</w:t>
      </w:r>
    </w:p>
    <w:p>
      <w:pPr/>
      <w:r>
        <w:rPr/>
        <w:t xml:space="preserve">Добрый день, подскажите, если претензия отправлена 29.06.2026 года, когда я вправе подать исковое заявление, первый день, чтобы иск не вернули?</w:t>
      </w:r>
    </w:p>
    <w:p>
      <w:pPr>
        <w:spacing w:before="0" w:after="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Ergonomic and stylish!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2026-07-30T22:10:17+00:00</dcterms:created>
  <dcterms:modified xsi:type="dcterms:W3CDTF">2026-07-30T22:10:17+00:00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