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Возможно ли выполнить экспертизу промышленной безопасности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возможно ли выполнить экспертизу промышленной безопасности в отношении узла учета газа после истечения срока его службы.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Здравствуйте.</w:t>
      </w:r>
    </w:p>
    <w:p>
      <w:pPr/>
      <w:r>
        <w:rPr/>
        <w:t xml:space="preserve">Да, возможно. Это следует из следующих норм права:</w:t>
      </w:r>
    </w:p>
    <w:p>
      <w:pPr/>
      <w:r>
        <w:rPr/>
        <w:t xml:space="preserve">Данный вопрос регламентируется Федеральным законом от 21.07.1997 N 116-ФЗ "О промышленной безопасности опасных производственных объектов", </w:t>
      </w:r>
      <w:br/>
      <w:r>
        <w:rPr/>
        <w:t xml:space="preserve">Согласно ч. 1. ст. 7  указанного Федерального закона обязательные требования к техническим устройствам, применяемым на опасном производственном объекте, и формы оценки их соответствия указанным обязательным требованиям устанавливаются в соответствии с законодательством Российской Федерации о техническом регулировании.</w:t>
      </w:r>
    </w:p>
    <w:p>
      <w:pPr/>
      <w:r>
        <w:rPr/>
        <w:t xml:space="preserve">Согласно ч. 1. ст. 7  указанного Федерального закона, если техническим регламентом не установлена иная форма оценки соответствия технического устройства, применяемого на опасном производственном объекте, обязательным требованиям к такому техническому устройству, оно подлежит экспертизе промышленной безопасности:</w:t>
      </w:r>
    </w:p>
    <w:p>
      <w:pPr>
        <w:numPr>
          <w:ilvl w:val="0"/>
          <w:numId w:val="1"/>
        </w:numPr>
      </w:pPr>
      <w:r>
        <w:rPr/>
        <w:t xml:space="preserve">до начала применения на опасном производственном объекте;</w:t>
      </w:r>
    </w:p>
    <w:p>
      <w:pPr>
        <w:numPr>
          <w:ilvl w:val="0"/>
          <w:numId w:val="1"/>
        </w:numPr>
      </w:pPr>
      <w:r>
        <w:rPr/>
        <w:t xml:space="preserve">по истечении срока службы или при превышении количества циклов нагрузки такого технического устройства, установленных его производителем;</w:t>
      </w:r>
    </w:p>
    <w:p>
      <w:pPr>
        <w:numPr>
          <w:ilvl w:val="0"/>
          <w:numId w:val="1"/>
        </w:numPr>
      </w:pPr>
      <w:r>
        <w:rPr/>
        <w:t xml:space="preserve">при отсутствии в технической документации данных о сроке службы такого технического устройства, если фактический срок его службы превышает двадцать лет;</w:t>
      </w:r>
    </w:p>
    <w:p>
      <w:pPr>
        <w:numPr>
          <w:ilvl w:val="0"/>
          <w:numId w:val="1"/>
        </w:numPr>
      </w:pPr>
      <w:r>
        <w:rPr/>
        <w:t xml:space="preserve">после проведения работ, связанных с изменением конструкции, заменой материала несущих элементов такого технического устройства, либо восстановительного ремонта после аварии или инцидента на опасном производственном объекте, в результате которых было повреждено такое техническое устройство.</w:t>
      </w:r>
    </w:p>
    <w:p>
      <w:pPr/>
      <w:r>
        <w:rPr/>
        <w:t xml:space="preserve">Согласно пункту 1 статьи 13 Федерального закона N 116-ФЗ экспертизе промышленной безопасности подлежат в том числе технические устройства, применяемые на опасном производственном объекте, в случаях, установленных статьей 7 Федерального закона N 116-ФЗ.</w:t>
      </w:r>
      <w:br/>
      <w:r>
        <w:rPr/>
        <w:t xml:space="preserve">Стоит также учитывать, что при регистрации опасного производственного объекта в государственном реестре опасных производственных объектов в сведения, характеризующие опасные производственные объекты, включаются здания, сооружения, технические устройства, участвующие в технологическом процессе.</w:t>
      </w:r>
      <w:br/>
      <w:r>
        <w:rPr/>
        <w:t xml:space="preserve">Соответственно, проведение экспертизы промышленной безопасности технических устройств, применяемых на опасном производственном объекте, но не участвующих в технологическом процессе и (или) не обладающих признаками опасности, указанными в приложении 1 к Федеральному закону N 116-ФЗ, не требуется.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93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2026-07-03T04:57:25+08:00</dcterms:created>
  <dcterms:modified xsi:type="dcterms:W3CDTF">2026-07-03T04:57:25+08:00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