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оплате стоимости теплового ресурса при передаче от застройщика дома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Здравствуйте. Попробую объяснить суть вопроса.Кто должен оплатить стоимость теплового ресурса при передаче от застройщика дома к управляющей компании?Застройщик ссылается на факт передачи дома управляющей компании.   В то же самое время не все помещения переданы от застройщика? Так же нашел судебную практику, хотел бы узнать о ее законности?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</w:p>
    <w:p>
      <w:pPr/>
      <w:r>
        <w:rPr/>
        <w:t xml:space="preserve">В соответствии с пунктом 1 статьи 548 ГК РФ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 </w:t>
      </w:r>
      <w:br/>
      <w:r>
        <w:rPr/>
        <w:t xml:space="preserve">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 в порядке, установленном законом, иными правовыми актами или соглашением сторон (статья 539 ГК РФ). </w:t>
      </w:r>
    </w:p>
    <w:p>
      <w:pPr/>
      <w:r>
        <w:rPr/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 (пункт 1 статьи 544 ГК РФ). </w:t>
      </w:r>
    </w:p>
    <w:p>
      <w:pPr/>
      <w:r>
        <w:rPr/>
        <w:t xml:space="preserve">Поскольку поставка энергоресурсов в данном случае осуществлялась в МКД, то к правоотношениям сторон также подлежат применению нормы Жилищного кодекса Российской Федерации (далее - ЖК РФ), Правила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 (далее - Правила N 354),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утвержденные постановление Правительства Российской Федерации от 14.02.2012 N 124 (далее - Правила N 124). </w:t>
      </w:r>
    </w:p>
    <w:p>
      <w:pPr/>
      <w:r>
        <w:rPr/>
        <w:t xml:space="preserve">Согласно статье 153 ЖК РФ граждане и организации обязаны своевременно и полностью вносить плату за жилое помещение и коммунальные услуги. </w:t>
      </w:r>
      <w:br/>
      <w:r>
        <w:rPr/>
        <w:t xml:space="preserve">Статьей 157 ЖК РФ предусмотрено, что размер платы за коммунальные услуги рассчитывается исходя из объема потребляемых услуг, определяемого по показаниям приборов учета, а при их отсутствии,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РФ. </w:t>
      </w:r>
    </w:p>
    <w:p>
      <w:pPr/>
      <w:r>
        <w:rPr/>
        <w:t xml:space="preserve">В соответствии с пунктом 7 части 2 статьи 153 Жилищного кодекса Российской Федерации (далее - ЖК РФ) застройщик (лицо, обеспечивающее строительство многоквартирного дома) оплачивает коммунальные услуги с момента выдачи ему разрешения на ввод многоквартирного дома в эксплуатацию в отношении тех помещений в доме, которые не переданы иным лицам по передаточному акту или иному документу о передаче. </w:t>
      </w:r>
    </w:p>
    <w:p>
      <w:pPr/>
      <w:r>
        <w:rPr/>
        <w:t xml:space="preserve">Пунктом 6 части 2 статьи 153 ЖК РФ предусмотрено, что обязанность по внесению платы за жилое помещение и коммунальные услуги возникает у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передачи. </w:t>
      </w:r>
    </w:p>
    <w:p>
      <w:pPr/>
      <w:r>
        <w:rPr/>
        <w:t xml:space="preserve">В силу части 14 статьи 161 ЖК РФ до заключения договора управления МКД между лицом, указанным в пункте 6 части 2 статьи 153 настоящего Кодекса, и управляющей организацией, отобранной по результатам открытого конкурса, проведенного в соответствии с частью 13 настоящей статьи, управление МКД осуществляется застройщиком при условии его соответствия стандартам и правилам деятельности по управлению МКД, установленным в соответствии с настоящей статьей Правительством Российской Федерации, или управляющей организацией, с которой застройщиком заключен договор управления МКД не позднее чем через пять дней со дня получения разрешения на ввод в эксплуатацию многоквартирного дома. </w:t>
      </w:r>
      <w:br/>
      <w:r>
        <w:rPr/>
        <w:t xml:space="preserve">Согласно части 7.4 статьи 155 ЖК РФ при заключении застройщиком в случае, предусмотренном частью 14 статьи 161 ЖК РФ, договора управления МКД с управляющей организацией, плата за жилое помещение и коммунальные услуги вносится лицом, указанным в пункте 6 части 2 статьи 153 названного Кодекса, такой управляющей организации. </w:t>
      </w:r>
    </w:p>
    <w:p>
      <w:pPr/>
      <w:r>
        <w:rPr/>
        <w:t xml:space="preserve">Из вышеизложенного следует, что лица, которым переданы помещения от застройщика, вносят плату за жилое помещение и коммунальные услуги непосредственно управляющей компании, в случае заключения застройщиком договора управления с управляющей организацией. </w:t>
      </w:r>
    </w:p>
    <w:p>
      <w:pPr/>
      <w:r>
        <w:rPr/>
        <w:t xml:space="preserve">Исходя из системного толкования частей 13, 14 статьи 161 ЖК РФ следует, что обязанность по заключению договора управления МКД с управляющей организацией, отобранной по результатам открытого конкурса, лежит на лице, принявшим от застройщика помещение в данном доме. До проведения открытого конкурса по отбору управляющей организации, управление домом может осуществляться либо непосредственно застройщиком, либо управляющей организацией, с которой застройщик заключил договор управления. </w:t>
      </w:r>
    </w:p>
    <w:p>
      <w:pPr/>
      <w:r>
        <w:rPr/>
        <w:t xml:space="preserve">Согласно части 2 статьи 162 ЖК РФ,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пункте 6 части 2 статьи 153 настоящего Кодекса, либо в случае, предусмотренном частью 14 статьи 161 настоящего Кодекса, застройщика)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 </w:t>
      </w:r>
    </w:p>
    <w:p>
      <w:pPr/>
      <w:r>
        <w:rPr/>
        <w:t xml:space="preserve">В силу статей 8, 12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строительства. В передаточном акте или ином документе о передаче объекта долевого строительства указываются дата передачи, основные характеристики жилого помещения или нежилого помещения, являющихся объектом долевого строительства, а также иная информация по усмотрению сторон.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(или) иного объекта недвижимости.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строительства. </w:t>
      </w:r>
    </w:p>
    <w:p>
      <w:pPr/>
      <w:r>
        <w:rPr/>
        <w:t xml:space="preserve">Таким образом, до передачи спорных квартир дольщикам (инвесторам) застройщик обязан нести бремя содержания имущества.</w:t>
      </w:r>
      <w:br/>
      <w:r>
        <w:rPr/>
        <w:t xml:space="preserve">Также имеется судебная практика, подтверждающая указанный вывод:</w:t>
      </w:r>
    </w:p>
    <w:p>
      <w:pPr/>
      <w:r>
        <w:rPr/>
        <w:t xml:space="preserve">«Судом первой инстанции правомерно сделан вывод о том, что до передачи спорных квартир дольщикам (инвесторам) застройщик обязан нести бремя содержания имущества. В части переданных помещений застройщик бремя содержания имущества не несет»</w:t>
      </w:r>
    </w:p>
    <w:p>
      <w:pPr/>
      <w:r>
        <w:rPr/>
        <w:t xml:space="preserve">(Постановление Семнадцатого арбитражного апелляционного суда от 31.10.2023 N 17АП-9773/2023-ГК по делу N А60-59534/2022).</w:t>
      </w:r>
    </w:p>
    <w:p>
      <w:pPr/>
      <w:br/>
      <w:r>
        <w:rPr/>
        <w:t xml:space="preserve">«Таким образом, участник долевого строительства фактически владеет и пользуется построенным объектом недвижимости с момента его передачи по подписываемому сторонами передаточному акту, а до этого момента данным объектом владеет и пользуется застройщик, который и должен нести бремя содержания данного имущества в силу указанных выше норм права</w:t>
      </w:r>
    </w:p>
    <w:p>
      <w:pPr/>
      <w:r>
        <w:rPr/>
        <w:t xml:space="preserve">(Постановление Арбитражного суда Уральского округа от 19.10.2023 N Ф09-7266/23 по делу N А07-3578/2022).</w:t>
      </w:r>
    </w:p>
    <w:p>
      <w:pPr/>
      <w:r>
        <w:rPr/>
        <w:t xml:space="preserve">В деле А60-59534/2022 с застройщика взыскана задолженность за коммунальные ресурсы в части непереданных квартир – «Сами по себе представленные в дело акты приемки-передачи объектов (квартир) не свидетельствуют о передаче к концу спорного периода всех помещений, в связи с чем обязанность по оплате тепловой энергии у ответчика в отношении переданных в мае 2022 г. квартир сохраняется». (Постановление Семнадцатого арбитражного апелляционного суда от 31.10.2023 N 17АП-9773/2023-ГК по делу N А60-59534/2022).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2026-07-03T08:45:16+08:00</dcterms:created>
  <dcterms:modified xsi:type="dcterms:W3CDTF">2026-07-03T08:45:16+08:00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