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поводу незаконного использования товарных знаков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как быть, если при продаже кондитерских изделий мне предъявили иск на несколько миллионов рублей, а их стоимость в десятки раз меньше.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 можете руководствоваться следющим.</w:t>
      </w:r>
    </w:p>
    <w:p>
      <w:pPr/>
      <w:r>
        <w:rPr/>
        <w:t xml:space="preserve">Имеется правовая позиция Конституционного Суда Российской Федерации, сформулированная в постановлениях от 13 декабря 2016 года N 28-П и от 13 февраля 2018 года N 8-П.</w:t>
      </w:r>
    </w:p>
    <w:p>
      <w:pPr/>
      <w:r>
        <w:rPr/>
        <w:t xml:space="preserve">Смысл указанных позиций сводится к следующему:</w:t>
      </w:r>
    </w:p>
    <w:p>
      <w:pPr/>
      <w:r>
        <w:rPr/>
        <w:t xml:space="preserve">Впредь до внесения в гражданское законодательство изменений, вытекающих из настоящего Постановления,</w:t>
      </w:r>
      <w:r>
        <w:rPr>
          <w:b w:val="1"/>
          <w:bCs w:val="1"/>
        </w:rPr>
        <w:t xml:space="preserve"> суды не могут быть лишены возможности</w:t>
      </w:r>
      <w:r>
        <w:rPr/>
        <w:t xml:space="preserve"> учесть все значимые для дела обстоятельства, включая характер допущенного нарушения и тяжелое материальное положение ответчика, и при наличии соответствующего заявления от него </w:t>
      </w:r>
      <w:r>
        <w:rPr>
          <w:b w:val="1"/>
          <w:bCs w:val="1"/>
        </w:rPr>
        <w:t xml:space="preserve">снизить размер компенсации ниже установленной подпунктом 2 пункта 4 статьи 1515 ГК Российской Федерации величины</w:t>
      </w:r>
      <w:r>
        <w:rPr/>
        <w:t xml:space="preserve">. При этом - с целью не допустить избыточного вторжения в имущественную сферу ответчика, с одной стороны, и, с другой, лишить его стимулов к бездоговорному использованию объектов интеллектуальной собственности - размер такой компенсации может быть снижен судом не более чем вдвое (т.е. не может составлять менее стоимости права использования товарного знака).</w:t>
      </w:r>
    </w:p>
    <w:p>
      <w:pPr/>
      <w:r>
        <w:rPr/>
        <w:t xml:space="preserve">Согласно правовой позиции Конституционного Суда Российской Федерации, содержащейся в постановлении от 13.12.2016 N 28-П, </w:t>
      </w:r>
      <w:r>
        <w:rPr>
          <w:b w:val="1"/>
          <w:bCs w:val="1"/>
        </w:rPr>
        <w:t xml:space="preserve">при определенных условиях возможно снижение судом размера компенсации ниже низшего предела, установленного ст. ст. 1301, 1311 и 1515 ГК РФ</w:t>
      </w:r>
      <w:r>
        <w:rPr/>
        <w:t xml:space="preserve">, однако такое уменьшение возможно лишь по заявлению ответчика и при следующих условиях: убытки поддаются исчислению с разумной степенью достоверности, а их превышение должно быть доказано ответчиком; правонарушение совершено ответчиком впервые; использование объектов интеллектуальной собственности, права на которые принадлежат другим лицам, с нарушением этих прав не являлось существенной частью деятельности ответчика и не носило грубый характер (например, если продавцу не было заведомо известно о контрафактном характере реализуемой им продукции).</w:t>
      </w:r>
    </w:p>
    <w:p>
      <w:pPr/>
      <w:r>
        <w:rPr/>
        <w:t xml:space="preserve">Согласно разъяснениям, изложенным в п. 47 Обзора судебной практики по делам, связанным с разрешением споров о защите интеллектуальных прав, утвержденного Президиумом Верховного Суда Российской Федерации от 23.09.2015, суд определяет размер компенсации не произвольно, а исходя из оценки представленных сторонами доказательств.</w:t>
      </w:r>
    </w:p>
    <w:p>
      <w:pPr/>
      <w:r>
        <w:rPr/>
        <w:t xml:space="preserve">Для применеия укавзанной правовой позиции Консутитуционного суда, имеет значение следующие факторы:</w:t>
      </w:r>
    </w:p>
    <w:p>
      <w:pPr>
        <w:numPr>
          <w:ilvl w:val="0"/>
          <w:numId w:val="1"/>
        </w:numPr>
      </w:pPr>
      <w:r>
        <w:rPr/>
        <w:t xml:space="preserve">отсутствие (наличие) доказательств систематического или грубого нарушения ответчиком прав правообладателя, в том числе о ранее совершенных нарушениях.</w:t>
      </w:r>
    </w:p>
    <w:p>
      <w:pPr>
        <w:numPr>
          <w:ilvl w:val="0"/>
          <w:numId w:val="1"/>
        </w:numPr>
      </w:pPr>
      <w:r>
        <w:rPr/>
        <w:t xml:space="preserve">из обстоятельств по делу следует, что использование результатов интеллектуальной деятельности, права на которые принадлежат другим лицам, существенной частью хозяйственной деятельности ответчика не является;</w:t>
      </w:r>
    </w:p>
    <w:p>
      <w:pPr>
        <w:numPr>
          <w:ilvl w:val="0"/>
          <w:numId w:val="1"/>
        </w:numPr>
      </w:pPr>
      <w:r>
        <w:rPr/>
        <w:t xml:space="preserve">характер допущенного нарушения, степень вины нарушителя (отсутствие умысла);</w:t>
      </w:r>
    </w:p>
    <w:p>
      <w:pPr>
        <w:numPr>
          <w:ilvl w:val="0"/>
          <w:numId w:val="1"/>
        </w:numPr>
      </w:pPr>
      <w:r>
        <w:rPr/>
        <w:t xml:space="preserve">вероятные убытки правообладателя;</w:t>
      </w:r>
    </w:p>
    <w:p>
      <w:pPr>
        <w:numPr>
          <w:ilvl w:val="0"/>
          <w:numId w:val="1"/>
        </w:numPr>
      </w:pPr>
      <w:r>
        <w:rPr/>
        <w:t xml:space="preserve">принципы разумности и справедливости, а также соразмерности компенсации последствиям нарушения;</w:t>
      </w:r>
    </w:p>
    <w:p>
      <w:pPr/>
      <w:r>
        <w:rPr/>
        <w:t xml:space="preserve">С учётом изложенных разъяснений, а также с учетом того, что Вы не полагали о не нарушении исключительных прав истца, Вам необходимо  заявить в судбеном заседании ходатайство, о том, что  в случае, если суд придет к выводу об обоснованности заявленных исковых требований, вы ходатайстуете перед судом о снижении размера подлежащих взысканию денежных сумм в порядке абзаца третьего пункта 3 статьи 1252 ГК РФ с учетом изложенной судебной практики, а также разъяснений изложенных в постановлениях Конституционного Суда Российской Федерации от 13 декабря 2016 года N 28-П и от 13 февраля 2018 года N 8-П.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F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2026-07-03T06:08:35+08:00</dcterms:created>
  <dcterms:modified xsi:type="dcterms:W3CDTF">2026-07-03T06:08:35+08:00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