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 взысканию убытков за нарушение исключительных авторских прав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день, подскажите, у нас сложилась ситуация, в результате которой с ИП могут взыскать убытки за нарушение авторских прав. Подскажите, если лицензиат своевременно не уведомил о прекращении лицензии, в рамках которой ИП предоставлялось право реализовывать товары, несет ли он ответственность? И будет ли выступать надлежащим ответчиком? Также бы уточнить, какие имеются варианты могут быть восприняты судом за нарушение авторских прав. Я имею в виду, за каждую реализацию будут взыскан штраф?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день!</w:t>
      </w:r>
    </w:p>
    <w:p>
      <w:pPr/>
      <w:br/>
      <w:r>
        <w:rPr/>
        <w:t xml:space="preserve">Согласно п. 91 постановления Пленума Верховного Суда РФ от 23.04.2019 № 10, предложение к продаже экземпляра произведения охватывается правомочием на распространение произведения (подпункт 2 пункта 2 статьи 1270 ГК РФ).</w:t>
      </w:r>
      <w:br/>
      <w:r>
        <w:rPr/>
        <w:t xml:space="preserve">Фактом нарушением исключительных прав Правообладателя на вышеуказанные произведения и товарные знаки является само предложение товара, с размещенными на нем объектами интеллектуальных прав</w:t>
      </w:r>
    </w:p>
    <w:p>
      <w:pPr/>
      <w:r>
        <w:rPr/>
        <w:t xml:space="preserve">При этом, не уведомление Вас лицензиатом, не снимает вины, поскольку вина в гражданском праве толкуется несколько жестче, чем в уголовном праве, как субъект предпринимательской деятельности Вы должны были учесть все обстоятельства. Не думаю, что данные возражения существенном помогут убедить суд не применять штрафные меры. </w:t>
      </w:r>
      <w:br/>
      <w:r>
        <w:rPr/>
        <w:t xml:space="preserve">Будучи профессиональным участником рынка, Ответчик должен принимать меры для своей осведомленности о наличии контрафактной продукции на рынке и о существенном нарушении авторских прав в процессе торговли такой продукцией.</w:t>
      </w:r>
      <w:br/>
      <w:r>
        <w:rPr/>
        <w:t xml:space="preserve">Приложив минимальные усилия, индивидуальный предприниматель мог бы определить, является ли товар контрафактным или нет, а также мог приобрести для реализации оригинальную продукцию с согласия Правообладателя.</w:t>
      </w:r>
      <w:br/>
      <w:r>
        <w:rPr/>
        <w:t xml:space="preserve">Конечно, Ваши доводы будут учтены судом, также как и неоднократность либо повторность нарушения Ответчиком исключительных прав входит в круг обстоятельств, имеющих значение для дела, но полностью снять с Вас ответственность вряд ли получится.</w:t>
      </w:r>
    </w:p>
    <w:p>
      <w:pPr/>
      <w:r>
        <w:rPr/>
        <w:t xml:space="preserve">В соответствии со ст. 421 ГК РФ  стороны могут заключить договор, в котором содержатся элементы различных договоров, предусмотренных законом или иными правовыми актами (смешанный договор). К отношениям сторон по смешанному договору применяются в соответствующих частях правила о договорах, элементы которых содержатся в смешанном договоре, если иное не вытекает из соглашения сторон или существа смешанного договора.</w:t>
      </w:r>
      <w:br/>
      <w:r>
        <w:rPr/>
        <w:t xml:space="preserve">Поэтому для более детального анализа необходимо изучить договорные отношения между Вами и правообладателем.</w:t>
      </w:r>
    </w:p>
    <w:p>
      <w:pPr/>
      <w:r>
        <w:rPr/>
        <w:t xml:space="preserve">По поводу второй части Вашего вопроса.</w:t>
      </w:r>
      <w:br/>
      <w:r>
        <w:rPr/>
        <w:t xml:space="preserve">В соответствии с ч. 3 ст. 1252, ст. 1301, ч. 4 ст. 1515 ГК РФ, Правообладатель вправе требовать по своему выбору от нарушителя вместо возмещения убытков выплаты компенсации в двукратном размере стоимости товаров, на которых незаконно размещен товарный знак.</w:t>
      </w:r>
    </w:p>
    <w:p>
      <w:pPr/>
      <w:r>
        <w:rPr/>
        <w:t xml:space="preserve">В связи с вышеизложенным, за каждый факт реализации правообладатель могут с Вас взыскать размер двойной стоимости товара.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2026-07-03T04:45:14+08:00</dcterms:created>
  <dcterms:modified xsi:type="dcterms:W3CDTF">2026-07-03T04:45:14+08:00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