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Допустим ли зачет переплаты по 44 фз?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хотелось бы Выяснить, если имеются переплаты по муниципальному контракту, заключенному в порядке 44 фз. Имею ли я право их зачесть и каким образом?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день, </w:t>
      </w:r>
      <w:br/>
      <w:r>
        <w:rPr/>
        <w:t xml:space="preserve">Переплаты можно зачесть в рамках гражданско-правого договора по ст. 410 ГК РФ</w:t>
      </w:r>
      <w:br/>
      <w:r>
        <w:rPr/>
        <w:t xml:space="preserve">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</w:t>
      </w:r>
      <w:br/>
      <w:r>
        <w:rPr/>
        <w:t xml:space="preserve">Случаи недопустимости зачета указаны в ст. 411 ГК РФ:</w:t>
      </w:r>
    </w:p>
    <w:p>
      <w:pPr>
        <w:numPr>
          <w:ilvl w:val="0"/>
          <w:numId w:val="1"/>
        </w:numPr>
      </w:pPr>
      <w:r>
        <w:rPr/>
        <w:t xml:space="preserve">о возмещении вреда, причиненного жизни или здоровью;</w:t>
      </w:r>
    </w:p>
    <w:p>
      <w:pPr>
        <w:numPr>
          <w:ilvl w:val="0"/>
          <w:numId w:val="1"/>
        </w:numPr>
      </w:pPr>
      <w:r>
        <w:rPr/>
        <w:t xml:space="preserve">о пожизненном содержании;</w:t>
      </w:r>
    </w:p>
    <w:p>
      <w:pPr>
        <w:numPr>
          <w:ilvl w:val="0"/>
          <w:numId w:val="1"/>
        </w:numPr>
      </w:pPr>
      <w:r>
        <w:rPr/>
        <w:t xml:space="preserve">о взыскании алиментов;</w:t>
      </w:r>
    </w:p>
    <w:p>
      <w:pPr>
        <w:numPr>
          <w:ilvl w:val="0"/>
          <w:numId w:val="1"/>
        </w:numPr>
      </w:pPr>
      <w:r>
        <w:rPr/>
        <w:t xml:space="preserve">по которым истек срок исковой давности;</w:t>
      </w:r>
    </w:p>
    <w:p>
      <w:pPr>
        <w:numPr>
          <w:ilvl w:val="0"/>
          <w:numId w:val="1"/>
        </w:numPr>
      </w:pPr>
      <w:r>
        <w:rPr/>
        <w:t xml:space="preserve">в иных случаях, предусмотренных законом или договором.</w:t>
      </w:r>
    </w:p>
    <w:p>
      <w:pPr/>
      <w:r>
        <w:rPr/>
        <w:t xml:space="preserve">Если инициатором зачета выступает поставщик, который соблюдает необходимые условия, вы не можете отказаться от зачета, в том числе со ссылкой на свою организационно-правовую форму, поскольку правомерно прекращенные зачетом обязательства не могут быть восстановлены (Информационное письмо Президиума ВАС РФ от 29.12.2001 N 65).</w:t>
      </w:r>
      <w:br/>
      <w:r>
        <w:rPr/>
        <w:t xml:space="preserve">Судом первой инстанции было установлено, что за несколько месяцев до обращения истца в суд ответчик известил арендодателя о том, что на основании статьи 410 ГК РФ его обязательство по арендной плате прекращено путем зачета встречного однородного требования. Арендодатель с проведением зачета не согласился, известив об этом арендатора соответствующим письмом, и обратился с иском о взыскании задолженности в суд. Ответчик, в свою очередь, выставил в банк истца инкассовое поручение о списании с последнего в предусмотренном договором безакцептном порядке суммы долга истца перед ответчиком, отказавшись от сделанного им до этого заявления о зачете встречного однородного требования. В связи с этим, по мнению суда, действия ответчика, направленные на получение задолженности с истца, свидетельствуют о том, что зачет не состоялся.</w:t>
      </w:r>
      <w:br/>
      <w:r>
        <w:rPr/>
        <w:t xml:space="preserve">Суд апелляционной инстанции решение суда отменил и в иске отказал. В судебном акте было указано, что гражданское право не предусматривает возможности отказа от совершенного зачета. Действия ответчика по получению долга посредством безакцептного списания денежных средств со счета истца в данном случае не влекут каких-либо правовых последствий для состоявшегося зачета.</w:t>
      </w:r>
      <w:br/>
      <w:r>
        <w:rPr/>
        <w:t xml:space="preserve">Информационное письмо Президиума ВАС РФ от 29.12.2001 N 65 «Обзор практики разрешения споров, связанных с прекращением обязательств зачетом встречных однородных требований».</w:t>
      </w:r>
    </w:p>
    <w:p>
      <w:pPr/>
      <w:br/>
      <w:r>
        <w:rPr/>
        <w:t xml:space="preserve">В дополнение к изложенному это подтверждает следующая судебная практика:</w:t>
      </w:r>
    </w:p>
    <w:p>
      <w:pPr/>
      <w:r>
        <w:rPr/>
        <w:t xml:space="preserve">«Довод истца о том, что он ошибочно заявил переносе переплаты по договору N 01-19-335 на договор N 01-19-08 и эти действия в данном случае противоречат положениям Федерального закона от 05.04.2013 года N 44-ФЗ "О контрактной системе в сфере закупок товаров, работ, услуг для обеспечения государственных и муниципальных нужд" (далее - Закон N 44-ФЗ), судом отклоняется в силу следующего.</w:t>
      </w:r>
      <w:br/>
      <w:r>
        <w:rPr/>
        <w:t xml:space="preserve">Отношения по прекращению обязательств регулируются нормами Гражданского кодекса Российской Федерации (глава 26), в то время как положения Закона N 44-ФЗ направлены на урегулирование отношений в сфере обеспечения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  <w:br/>
      <w:r>
        <w:rPr/>
        <w:t xml:space="preserve">Поскольку в данном случае спор касается прекращения обязательства зачетом встречного однородного требования, то подлежат применению нормы гражданского законодательства.</w:t>
      </w:r>
      <w:br/>
      <w:r>
        <w:rPr/>
        <w:t xml:space="preserve">Основания недопустимости зачета установлены положениями статьи 411 Гражданского кодекса Российской Федерации, в соответствии с которой не допускается зачет требований:</w:t>
      </w:r>
      <w:br/>
      <w:r>
        <w:rPr/>
        <w:t xml:space="preserve">о возмещении вреда, причиненного жизни или здоровью;</w:t>
      </w:r>
      <w:br/>
      <w:r>
        <w:rPr/>
        <w:t xml:space="preserve">о пожизненном содержании;</w:t>
      </w:r>
      <w:br/>
      <w:r>
        <w:rPr/>
        <w:t xml:space="preserve">о взыскании алиментов;</w:t>
      </w:r>
      <w:br/>
      <w:r>
        <w:rPr/>
        <w:t xml:space="preserve">по которым истек срок исковой давности;</w:t>
      </w:r>
      <w:br/>
      <w:r>
        <w:rPr/>
        <w:t xml:space="preserve">в иных случаях, предусмотренных законом или договором.</w:t>
      </w:r>
      <w:br/>
      <w:r>
        <w:rPr/>
        <w:t xml:space="preserve">Судом не установлены обстоятельства невозможности проведения зачета по рассматриваемым в рамках настоящего спора правоотношениям.»</w:t>
      </w:r>
      <w:br/>
      <w:r>
        <w:rPr/>
        <w:t xml:space="preserve">(Решение Арбитражного суда Астраханской области от 19.03.2021 по делу N А06-7753/2020)</w:t>
      </w:r>
    </w:p>
    <w:p>
      <w:pPr/>
      <w:r>
        <w:rPr/>
        <w:t xml:space="preserve">На основании вышеизложенного, возможно перенести переплаты на другой договор.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0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2026-07-03T06:08:34+08:00</dcterms:created>
  <dcterms:modified xsi:type="dcterms:W3CDTF">2026-07-03T06:08:34+08:00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