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размеру госпошлины и порядку ее оплаты...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сколько размер госпошлины при подаче иска в Краснокамский городской суд...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Если Вас интересует госпошлина в суд общей юрисдикции.</w:t>
      </w:r>
    </w:p>
    <w:p>
      <w:pPr>
        <w:jc w:val="both"/>
      </w:pPr>
      <w:r>
        <w:rPr/>
        <w:t xml:space="preserve">1. По делам, рассматриваемым Верховным Судом Российской Федерации в соответствии с гражданским процессуальным </w:t>
      </w:r>
      <w:hyperlink r:id="rId8" w:history="1">
        <w:r>
          <w:rPr/>
          <w:t xml:space="preserve">законодательством</w:t>
        </w:r>
      </w:hyperlink>
      <w:r>
        <w:rPr/>
        <w:t xml:space="preserve"> Российской Федерации и </w:t>
      </w:r>
      <w:hyperlink r:id="rId9" w:history="1">
        <w:r>
          <w:rPr/>
          <w:t xml:space="preserve">законодательством</w:t>
        </w:r>
      </w:hyperlink>
      <w:r>
        <w:rPr/>
        <w:t xml:space="preserve"> об административном судопроизводстве, судами общей юрисдикции, мировыми судьями, государственная пошлина уплачивается в следующих размерах:</w:t>
      </w:r>
    </w:p>
    <w:p>
      <w:pPr>
        <w:jc w:val="both"/>
      </w:pPr>
      <w:r>
        <w:rPr/>
        <w:t xml:space="preserve">1) 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</w:t>
      </w:r>
    </w:p>
    <w:p>
      <w:pPr>
        <w:jc w:val="both"/>
      </w:pPr>
      <w:r>
        <w:rPr/>
        <w:t xml:space="preserve">до 20 000 рублей - 4 процента цены иска, но не менее 400 рублей;</w:t>
      </w:r>
    </w:p>
    <w:p>
      <w:pPr>
        <w:jc w:val="both"/>
      </w:pPr>
      <w:r>
        <w:rPr/>
        <w:t xml:space="preserve">от 20 001 рубля до 100 000 рублей - 800 рублей плюс 3 процента суммы, превышающей 20 000 рублей;</w:t>
      </w:r>
    </w:p>
    <w:p>
      <w:pPr>
        <w:jc w:val="both"/>
      </w:pPr>
      <w:r>
        <w:rPr/>
        <w:t xml:space="preserve">от 100 001 рубля до 200 000 рублей - 3 200 рублей плюс 2 процента суммы, превышающей 100 000 рублей;</w:t>
      </w:r>
    </w:p>
    <w:p>
      <w:pPr>
        <w:jc w:val="both"/>
      </w:pPr>
      <w:r>
        <w:rPr/>
        <w:t xml:space="preserve">от 200 001 рубля до 1 000 000 рублей - 5 200 рублей плюс 1 процент суммы, превышающей 200 000 рублей;</w:t>
      </w:r>
    </w:p>
    <w:p>
      <w:pPr>
        <w:jc w:val="both"/>
      </w:pPr>
      <w:r>
        <w:rPr/>
        <w:t xml:space="preserve">свыше 1 000 000 рублей - 13 200 рублей плюс 0,5 процента суммы, превышающей 1 000 000 рублей, но не более 60 000 рублей;</w:t>
      </w:r>
    </w:p>
    <w:p>
      <w:pPr>
        <w:jc w:val="both"/>
      </w:pPr>
      <w:r>
        <w:rPr/>
        <w:t xml:space="preserve">Уточните Ваш вопрос.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consultantplus://offline/ref=7B15C7E39106A9D5D128B3D9247416E94AAC64A037FBE0D4C417886D9172D9231B0F9E6C36B529E4AC6F5B189B7B8E9E30A91D5CAB117F49i8bDK" TargetMode="External"/><Relationship Id="rId9" Type="http://schemas.openxmlformats.org/officeDocument/2006/relationships/hyperlink" Target="consultantplus://offline/ref=7B15C7E39106A9D5D128B3D9247416E94AAC66A331F4E0D4C417886D9172D9231B0F9E6C36B528EFAF6F5B189B7B8E9E30A91D5CAB117F49i8b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2026-07-03T03:44:13+08:00</dcterms:created>
  <dcterms:modified xsi:type="dcterms:W3CDTF">2026-07-03T03:44:13+08:00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